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B521E4" w:rsidTr="001A692C">
        <w:trPr>
          <w:trHeight w:val="2224"/>
        </w:trPr>
        <w:tc>
          <w:tcPr>
            <w:tcW w:w="4122" w:type="dxa"/>
          </w:tcPr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1E4" w:rsidRDefault="00B521E4" w:rsidP="001A692C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7810" r:id="rId5"/>
              </w:object>
            </w:r>
          </w:p>
          <w:p w:rsidR="00B521E4" w:rsidRDefault="00B521E4" w:rsidP="001A692C">
            <w:pPr>
              <w:pStyle w:val="a3"/>
            </w:pPr>
          </w:p>
          <w:p w:rsidR="00B521E4" w:rsidRDefault="00B521E4" w:rsidP="001A692C">
            <w:pPr>
              <w:pStyle w:val="a3"/>
            </w:pPr>
          </w:p>
        </w:tc>
        <w:tc>
          <w:tcPr>
            <w:tcW w:w="4341" w:type="dxa"/>
          </w:tcPr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B521E4" w:rsidRPr="00DE4D17" w:rsidRDefault="00B521E4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B521E4" w:rsidRDefault="00B521E4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B521E4" w:rsidRDefault="00B521E4" w:rsidP="00B5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B521E4" w:rsidRDefault="00B521E4" w:rsidP="00B521E4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B521E4" w:rsidRDefault="00B521E4" w:rsidP="00B521E4">
      <w:pPr>
        <w:jc w:val="center"/>
        <w:rPr>
          <w:b/>
          <w:sz w:val="28"/>
          <w:szCs w:val="28"/>
        </w:rPr>
      </w:pPr>
    </w:p>
    <w:p w:rsidR="00B521E4" w:rsidRDefault="00B521E4" w:rsidP="00B521E4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B521E4" w:rsidRDefault="00B521E4" w:rsidP="00B521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  <w:r w:rsidRPr="008D26E1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240</w:t>
      </w:r>
    </w:p>
    <w:p w:rsidR="00B521E4" w:rsidRDefault="00B521E4" w:rsidP="00B521E4">
      <w:pPr>
        <w:rPr>
          <w:sz w:val="24"/>
          <w:szCs w:val="24"/>
        </w:rPr>
      </w:pPr>
    </w:p>
    <w:p w:rsidR="00B521E4" w:rsidRDefault="00B521E4" w:rsidP="00B521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«Комплексное развитие</w:t>
      </w:r>
    </w:p>
    <w:p w:rsidR="00B521E4" w:rsidRDefault="00B521E4" w:rsidP="00B521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систем коммунальной инфраструктуры сельского поселения</w:t>
      </w:r>
    </w:p>
    <w:p w:rsidR="00B521E4" w:rsidRDefault="00B521E4" w:rsidP="00B521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B521E4" w:rsidRDefault="00B521E4" w:rsidP="00B521E4">
      <w:pPr>
        <w:ind w:left="-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B521E4" w:rsidRDefault="00B521E4" w:rsidP="00B521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 годы»</w:t>
      </w:r>
    </w:p>
    <w:p w:rsidR="00B521E4" w:rsidRDefault="00B521E4" w:rsidP="00B521E4">
      <w:pPr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>
        <w:rPr>
          <w:sz w:val="28"/>
          <w:szCs w:val="28"/>
        </w:rPr>
        <w:t>повышения надёжности объектов коммунальной инфраструктуры сельского поселения</w:t>
      </w:r>
      <w:proofErr w:type="gramEnd"/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«Комплексное развитие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2019 – 2021 годы».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на информационном стенде и разместить в сети общего доступа (Интернет) на сайте «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trypino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bCs/>
        </w:rPr>
        <w:t xml:space="preserve">по бюджету, налогам и вопросам муниципальной собственности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521E4" w:rsidRDefault="00B521E4" w:rsidP="00B521E4">
      <w:pPr>
        <w:jc w:val="both"/>
        <w:rPr>
          <w:sz w:val="28"/>
          <w:szCs w:val="28"/>
        </w:rPr>
      </w:pPr>
    </w:p>
    <w:p w:rsidR="00B521E4" w:rsidRDefault="00B521E4" w:rsidP="00B521E4">
      <w:pPr>
        <w:jc w:val="both"/>
        <w:rPr>
          <w:sz w:val="28"/>
          <w:szCs w:val="28"/>
        </w:rPr>
      </w:pPr>
    </w:p>
    <w:p w:rsidR="00B521E4" w:rsidRDefault="00B521E4" w:rsidP="00B521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И.С.Захарова</w:t>
      </w:r>
    </w:p>
    <w:p w:rsidR="00B521E4" w:rsidRDefault="00B521E4" w:rsidP="00B521E4">
      <w:pPr>
        <w:pStyle w:val="Default"/>
        <w:rPr>
          <w:color w:val="auto"/>
          <w:sz w:val="22"/>
          <w:szCs w:val="22"/>
          <w:lang w:eastAsia="ar-SA"/>
        </w:rPr>
      </w:pPr>
    </w:p>
    <w:p w:rsidR="00B521E4" w:rsidRDefault="00B521E4" w:rsidP="00B521E4">
      <w:pPr>
        <w:pStyle w:val="Default"/>
        <w:rPr>
          <w:color w:val="auto"/>
          <w:sz w:val="28"/>
          <w:szCs w:val="28"/>
          <w:lang w:eastAsia="ar-SA"/>
        </w:rPr>
      </w:pPr>
    </w:p>
    <w:p w:rsidR="00B521E4" w:rsidRDefault="00B521E4" w:rsidP="00B521E4">
      <w:pPr>
        <w:pStyle w:val="Default"/>
        <w:rPr>
          <w:color w:val="auto"/>
          <w:sz w:val="28"/>
          <w:szCs w:val="28"/>
          <w:lang w:eastAsia="ar-SA"/>
        </w:rPr>
      </w:pPr>
    </w:p>
    <w:p w:rsidR="00B521E4" w:rsidRDefault="00B521E4" w:rsidP="00B521E4">
      <w:pPr>
        <w:pStyle w:val="Default"/>
        <w:rPr>
          <w:color w:val="auto"/>
          <w:sz w:val="28"/>
          <w:szCs w:val="28"/>
          <w:lang w:eastAsia="ar-SA"/>
        </w:rPr>
      </w:pPr>
    </w:p>
    <w:p w:rsidR="00B521E4" w:rsidRDefault="00B521E4" w:rsidP="00B521E4">
      <w:pPr>
        <w:pStyle w:val="Default"/>
        <w:rPr>
          <w:color w:val="auto"/>
          <w:sz w:val="28"/>
          <w:szCs w:val="28"/>
          <w:lang w:eastAsia="ar-SA"/>
        </w:rPr>
      </w:pPr>
    </w:p>
    <w:p w:rsidR="00B521E4" w:rsidRDefault="00B521E4" w:rsidP="00B521E4">
      <w:pPr>
        <w:pStyle w:val="Default"/>
        <w:rPr>
          <w:color w:val="auto"/>
          <w:sz w:val="28"/>
          <w:szCs w:val="28"/>
          <w:lang w:eastAsia="ar-SA"/>
        </w:rPr>
      </w:pPr>
    </w:p>
    <w:p w:rsidR="00B521E4" w:rsidRDefault="00B521E4" w:rsidP="00B521E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Приложение к решению совета</w:t>
      </w:r>
    </w:p>
    <w:p w:rsidR="00B521E4" w:rsidRDefault="00B521E4" w:rsidP="00B521E4">
      <w:pPr>
        <w:pStyle w:val="Default"/>
        <w:ind w:left="5400"/>
        <w:rPr>
          <w:bCs/>
          <w:color w:val="auto"/>
        </w:rPr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  <w:r>
        <w:rPr>
          <w:bCs/>
          <w:color w:val="auto"/>
        </w:rPr>
        <w:t xml:space="preserve"> муниципального района </w:t>
      </w:r>
    </w:p>
    <w:p w:rsidR="00B521E4" w:rsidRDefault="00B521E4" w:rsidP="00B521E4">
      <w:pPr>
        <w:pStyle w:val="Default"/>
        <w:ind w:left="5400"/>
        <w:rPr>
          <w:bCs/>
          <w:color w:val="auto"/>
        </w:rPr>
      </w:pPr>
      <w:proofErr w:type="spellStart"/>
      <w:r>
        <w:rPr>
          <w:bCs/>
          <w:color w:val="auto"/>
        </w:rPr>
        <w:t>Аургазинский</w:t>
      </w:r>
      <w:proofErr w:type="spellEnd"/>
      <w:r>
        <w:rPr>
          <w:bCs/>
          <w:color w:val="auto"/>
        </w:rPr>
        <w:t xml:space="preserve"> район </w:t>
      </w:r>
    </w:p>
    <w:p w:rsidR="00B521E4" w:rsidRDefault="00B521E4" w:rsidP="00B521E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B521E4" w:rsidRDefault="00B521E4" w:rsidP="00B521E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240      от 30.04.2019 года </w:t>
      </w:r>
    </w:p>
    <w:p w:rsidR="00B521E4" w:rsidRDefault="00B521E4" w:rsidP="00B521E4">
      <w:pPr>
        <w:pStyle w:val="Default"/>
        <w:ind w:left="5400"/>
        <w:rPr>
          <w:bCs/>
          <w:color w:val="auto"/>
        </w:rPr>
      </w:pPr>
    </w:p>
    <w:p w:rsidR="00B521E4" w:rsidRDefault="00B521E4" w:rsidP="00B521E4">
      <w:pPr>
        <w:pStyle w:val="Default"/>
        <w:ind w:left="5400"/>
        <w:rPr>
          <w:bCs/>
          <w:color w:val="auto"/>
        </w:rPr>
      </w:pPr>
    </w:p>
    <w:p w:rsidR="00B521E4" w:rsidRDefault="00B521E4" w:rsidP="00B521E4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«Комплексное развитие систем коммунальной инфраструктуры сельского поселения </w:t>
      </w:r>
      <w:proofErr w:type="spellStart"/>
      <w:r>
        <w:rPr>
          <w:sz w:val="36"/>
          <w:szCs w:val="36"/>
        </w:rPr>
        <w:t>Тряпинский</w:t>
      </w:r>
      <w:proofErr w:type="spellEnd"/>
      <w:r>
        <w:rPr>
          <w:sz w:val="36"/>
          <w:szCs w:val="36"/>
        </w:rPr>
        <w:t xml:space="preserve"> сельсовет муниципального района </w:t>
      </w:r>
      <w:proofErr w:type="spellStart"/>
      <w:r>
        <w:rPr>
          <w:sz w:val="36"/>
          <w:szCs w:val="36"/>
        </w:rPr>
        <w:t>Аургазинский</w:t>
      </w:r>
      <w:proofErr w:type="spellEnd"/>
      <w:r>
        <w:rPr>
          <w:sz w:val="36"/>
          <w:szCs w:val="36"/>
        </w:rPr>
        <w:t xml:space="preserve"> район </w:t>
      </w:r>
    </w:p>
    <w:p w:rsidR="00B521E4" w:rsidRDefault="00B521E4" w:rsidP="00B521E4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2019 – 2021 годы»</w:t>
      </w:r>
    </w:p>
    <w:p w:rsidR="00B521E4" w:rsidRDefault="00B521E4" w:rsidP="00B521E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521E4" w:rsidRDefault="00B521E4" w:rsidP="00B521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Паспорт программы</w:t>
      </w:r>
    </w:p>
    <w:p w:rsidR="00B521E4" w:rsidRDefault="00B521E4" w:rsidP="00B521E4">
      <w:pPr>
        <w:pStyle w:val="ConsPlusNormal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613"/>
      </w:tblGrid>
      <w:tr w:rsidR="00B521E4" w:rsidTr="001A692C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r>
              <w:rPr>
                <w:spacing w:val="3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lang w:eastAsia="en-US"/>
              </w:rPr>
              <w:t>Аургазинский</w:t>
            </w:r>
            <w:proofErr w:type="spellEnd"/>
            <w:r>
              <w:rPr>
                <w:spacing w:val="3"/>
                <w:lang w:eastAsia="en-US"/>
              </w:rPr>
              <w:t xml:space="preserve"> район Республики Башкортостан на период 2019-2021 гг.</w:t>
            </w:r>
          </w:p>
        </w:tc>
      </w:tr>
      <w:tr w:rsidR="00B521E4" w:rsidTr="001A69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4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Федеральный закон от 30.12.2004 г. № 210-ФЗ «Об основах регулирования тарифов организаций коммунального комплекса»;</w:t>
            </w:r>
          </w:p>
          <w:p w:rsidR="00B521E4" w:rsidRDefault="00B521E4" w:rsidP="001A692C">
            <w:pPr>
              <w:spacing w:line="276" w:lineRule="auto"/>
              <w:ind w:firstLine="432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>. № 102-р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B521E4" w:rsidTr="001A69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4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</w:tr>
      <w:tr w:rsidR="00B521E4" w:rsidTr="001A692C">
        <w:trPr>
          <w:trHeight w:val="8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4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</w:tr>
      <w:tr w:rsidR="00B521E4" w:rsidTr="001A69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98"/>
              </w:tabs>
              <w:spacing w:line="276" w:lineRule="auto"/>
              <w:ind w:firstLine="432"/>
              <w:jc w:val="both"/>
              <w:rPr>
                <w:color w:val="FF0000"/>
                <w:spacing w:val="-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муниципального </w:t>
            </w:r>
            <w:r>
              <w:rPr>
                <w:lang w:eastAsia="en-US"/>
              </w:rPr>
              <w:lastRenderedPageBreak/>
              <w:t xml:space="preserve">района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период 2019-2021 гг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</w:tr>
      <w:tr w:rsidR="00B521E4" w:rsidTr="001A692C">
        <w:trPr>
          <w:trHeight w:val="5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spacing w:val="3"/>
                <w:lang w:eastAsia="en-US"/>
              </w:rPr>
              <w:t>2019 - 2021 годы</w:t>
            </w:r>
          </w:p>
        </w:tc>
      </w:tr>
      <w:tr w:rsidR="00B521E4" w:rsidTr="001A69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spacing w:val="3"/>
                <w:lang w:eastAsia="en-US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Объем финансирования программы в 2019- 2021 годах: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всего – 25 020 тыс</w:t>
            </w:r>
            <w:proofErr w:type="gramStart"/>
            <w:r>
              <w:rPr>
                <w:color w:val="000000"/>
                <w:spacing w:val="3"/>
                <w:lang w:eastAsia="en-US"/>
              </w:rPr>
              <w:t>.р</w:t>
            </w:r>
            <w:proofErr w:type="gramEnd"/>
            <w:r>
              <w:rPr>
                <w:color w:val="000000"/>
                <w:spacing w:val="3"/>
                <w:lang w:eastAsia="en-US"/>
              </w:rPr>
              <w:t>уб.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в том числе: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республиканский бюджет –25 020 тыс</w:t>
            </w:r>
            <w:proofErr w:type="gramStart"/>
            <w:r>
              <w:rPr>
                <w:color w:val="000000"/>
                <w:spacing w:val="3"/>
                <w:lang w:eastAsia="en-US"/>
              </w:rPr>
              <w:t>.р</w:t>
            </w:r>
            <w:proofErr w:type="gramEnd"/>
            <w:r>
              <w:rPr>
                <w:color w:val="000000"/>
                <w:spacing w:val="3"/>
                <w:lang w:eastAsia="en-US"/>
              </w:rPr>
              <w:t>уб.;</w:t>
            </w:r>
          </w:p>
        </w:tc>
      </w:tr>
      <w:tr w:rsidR="00B521E4" w:rsidTr="001A69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2019 году ожидается достижение следующих результатов: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Снижение потерь коммунальных ресурсов в процессе их выработки, транспортировки и распределении.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Снижение удельного объема коммунальных ресурсов, потребляемых населением.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B521E4" w:rsidTr="001A692C">
        <w:trPr>
          <w:trHeight w:val="31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spacing w:val="3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3"/>
                <w:lang w:eastAsia="en-US"/>
              </w:rPr>
              <w:t>Контроль за</w:t>
            </w:r>
            <w:proofErr w:type="gramEnd"/>
            <w:r>
              <w:rPr>
                <w:spacing w:val="3"/>
                <w:lang w:eastAsia="en-US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pacing w:val="3"/>
                <w:sz w:val="24"/>
                <w:szCs w:val="24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Программа реализуется на территории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r>
              <w:rPr>
                <w:spacing w:val="3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lang w:eastAsia="en-US"/>
              </w:rPr>
              <w:t>Аургазинский</w:t>
            </w:r>
            <w:proofErr w:type="spellEnd"/>
            <w:r>
              <w:rPr>
                <w:spacing w:val="3"/>
                <w:lang w:eastAsia="en-US"/>
              </w:rPr>
              <w:t xml:space="preserve"> район Республики Башкортостан. 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Для оценки эффективности реализации Программы Администрацией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  <w:r>
              <w:rPr>
                <w:spacing w:val="3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spacing w:val="3"/>
                <w:lang w:eastAsia="en-US"/>
              </w:rPr>
              <w:t>Аургазинский</w:t>
            </w:r>
            <w:proofErr w:type="spellEnd"/>
            <w:r>
              <w:rPr>
                <w:spacing w:val="3"/>
                <w:lang w:eastAsia="en-US"/>
              </w:rPr>
              <w:t xml:space="preserve"> район РБ будет проводиться ежегодный мониторинг.</w:t>
            </w:r>
          </w:p>
          <w:p w:rsidR="00B521E4" w:rsidRDefault="00B521E4" w:rsidP="001A692C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432"/>
              <w:jc w:val="both"/>
              <w:rPr>
                <w:spacing w:val="3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3"/>
                <w:lang w:eastAsia="en-US"/>
              </w:rPr>
              <w:t>Контроль за</w:t>
            </w:r>
            <w:proofErr w:type="gramEnd"/>
            <w:r>
              <w:rPr>
                <w:spacing w:val="3"/>
                <w:lang w:eastAsia="en-US"/>
              </w:rPr>
              <w:t xml:space="preserve"> исполнением Программы осуществляют Совет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r>
              <w:rPr>
                <w:spacing w:val="3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pacing w:val="3"/>
                <w:lang w:eastAsia="en-US"/>
              </w:rPr>
              <w:t>Аургазинский</w:t>
            </w:r>
            <w:proofErr w:type="spellEnd"/>
            <w:r>
              <w:rPr>
                <w:spacing w:val="3"/>
                <w:lang w:eastAsia="en-US"/>
              </w:rPr>
              <w:t xml:space="preserve"> район РБ в пределах своих полномочий в соответствии с законодательством. </w:t>
            </w:r>
          </w:p>
        </w:tc>
      </w:tr>
    </w:tbl>
    <w:p w:rsidR="00B521E4" w:rsidRDefault="00B521E4" w:rsidP="00B521E4">
      <w:pPr>
        <w:jc w:val="both"/>
        <w:rPr>
          <w:sz w:val="28"/>
          <w:szCs w:val="28"/>
        </w:rPr>
      </w:pPr>
    </w:p>
    <w:p w:rsidR="00B521E4" w:rsidRDefault="00B521E4" w:rsidP="00B521E4">
      <w:pPr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на 2019-2021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 xml:space="preserve">В связи с тем, что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Сроки реализации Программы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2019-2021 годов.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состояния инженерной инфраструктуры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Водоснабжение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Водоснабжения населенных пунктов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осуществляется из скважин, общественных и частных колодцев.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хозяйственно-питьевого (коммунального) водоснабжения служат подземные воды.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Водоотведение</w:t>
      </w:r>
    </w:p>
    <w:p w:rsidR="00B521E4" w:rsidRDefault="00B521E4" w:rsidP="00B521E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Централизованные системы водоотведения в населенных пунктах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>
        <w:rPr>
          <w:color w:val="000000"/>
          <w:sz w:val="28"/>
          <w:szCs w:val="28"/>
        </w:rPr>
        <w:t xml:space="preserve"> сельсовет отсутствуют. Население, проживающее в жилых домах, не оборудованных канализацией, пользуются надворными уборными,         а оборудованных водопроводом и канализацией – выгребными ямами.  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Электроснабжение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электроснабжение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в основном осуществляется по распределительным линиям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– 10 КВ от подстанции с. Белое Озеро. По балансовой принадлежности </w:t>
      </w:r>
      <w:proofErr w:type="spellStart"/>
      <w:r>
        <w:rPr>
          <w:sz w:val="28"/>
          <w:szCs w:val="28"/>
        </w:rPr>
        <w:t>электросетевые</w:t>
      </w:r>
      <w:proofErr w:type="spellEnd"/>
      <w:r>
        <w:rPr>
          <w:sz w:val="28"/>
          <w:szCs w:val="28"/>
        </w:rPr>
        <w:t xml:space="preserve"> объекты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относятся ООО «</w:t>
      </w:r>
      <w:proofErr w:type="spellStart"/>
      <w:r>
        <w:rPr>
          <w:sz w:val="28"/>
          <w:szCs w:val="28"/>
        </w:rPr>
        <w:t>Башкирэнерго</w:t>
      </w:r>
      <w:proofErr w:type="spellEnd"/>
      <w:r>
        <w:rPr>
          <w:sz w:val="28"/>
          <w:szCs w:val="28"/>
        </w:rPr>
        <w:t>».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электрической энергии по потребителям сельского поселения осуществляется на напряжении 10/0,4 кв. через понижающие трансформаторные подстанции 10/0,4 кв. в количестве 17 шт. 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сети напряжения 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трехпроводная</w:t>
      </w:r>
      <w:proofErr w:type="spellEnd"/>
      <w:r>
        <w:rPr>
          <w:sz w:val="28"/>
          <w:szCs w:val="28"/>
        </w:rPr>
        <w:t xml:space="preserve"> схема электроснабжения открытая, выполненная проводом АС по опорам ВЛ. Оборудование на подстанциях находится в удовлетворительном состоянии.  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Теплоснабжение</w:t>
      </w:r>
    </w:p>
    <w:p w:rsidR="00B521E4" w:rsidRDefault="00B521E4" w:rsidP="00B521E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центральной котельной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ряпино</w:t>
      </w:r>
      <w:proofErr w:type="spellEnd"/>
      <w:r>
        <w:rPr>
          <w:color w:val="000000"/>
          <w:sz w:val="28"/>
          <w:szCs w:val="28"/>
        </w:rPr>
        <w:t xml:space="preserve"> действует 2 котла НР-18 работающие на природном газе.</w:t>
      </w:r>
    </w:p>
    <w:p w:rsidR="00B521E4" w:rsidRDefault="00B521E4" w:rsidP="00B521E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Котельная снабжает теплом здание сельского дома культуры, сельской врачебной амбулатории, филиал МБОУ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уезбашево</w:t>
      </w:r>
      <w:proofErr w:type="spellEnd"/>
      <w:r>
        <w:rPr>
          <w:color w:val="000000"/>
          <w:sz w:val="28"/>
          <w:szCs w:val="28"/>
        </w:rPr>
        <w:t xml:space="preserve"> «ОШ </w:t>
      </w:r>
      <w:proofErr w:type="spellStart"/>
      <w:r>
        <w:rPr>
          <w:color w:val="000000"/>
          <w:sz w:val="28"/>
          <w:szCs w:val="28"/>
        </w:rPr>
        <w:t>с.Тряпино</w:t>
      </w:r>
      <w:proofErr w:type="spellEnd"/>
      <w:r>
        <w:rPr>
          <w:color w:val="000000"/>
          <w:sz w:val="28"/>
          <w:szCs w:val="28"/>
        </w:rPr>
        <w:t xml:space="preserve">». Процент износа составляет 70%. </w:t>
      </w:r>
    </w:p>
    <w:p w:rsidR="00B521E4" w:rsidRDefault="00B521E4" w:rsidP="00B521E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Отопление здания ФАП осуществляются от электрических источников теплоснабжения.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 Газоснабжение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газоснабжение потребителей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осуществляется в с.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алый </w:t>
      </w:r>
      <w:proofErr w:type="spellStart"/>
      <w:r>
        <w:rPr>
          <w:sz w:val="28"/>
          <w:szCs w:val="28"/>
        </w:rPr>
        <w:t>Нагадак</w:t>
      </w:r>
      <w:proofErr w:type="spellEnd"/>
      <w:r>
        <w:rPr>
          <w:sz w:val="28"/>
          <w:szCs w:val="28"/>
        </w:rPr>
        <w:t xml:space="preserve">  и </w:t>
      </w:r>
      <w:r>
        <w:rPr>
          <w:sz w:val="28"/>
          <w:szCs w:val="28"/>
        </w:rPr>
        <w:lastRenderedPageBreak/>
        <w:t xml:space="preserve">д.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. Газифицированные домовладения в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ряпино-98,в д.Заитово-72, д.Малый </w:t>
      </w:r>
      <w:proofErr w:type="spellStart"/>
      <w:r>
        <w:rPr>
          <w:sz w:val="28"/>
          <w:szCs w:val="28"/>
        </w:rPr>
        <w:t>Нагадак</w:t>
      </w:r>
      <w:proofErr w:type="spellEnd"/>
      <w:r>
        <w:rPr>
          <w:sz w:val="28"/>
          <w:szCs w:val="28"/>
        </w:rPr>
        <w:t xml:space="preserve"> - 17 . Процент охвата газоснабжением и количество газифицированных домов с установленными в них: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газовыми плитами-98 %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газовыми плитами и водогрейными колонками-5%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газовыми плитами и отопительными котлами-30 %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газа осуществляется  согласно утвержденной схеме газоснабжения района, разработанной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Уфа». 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еселовка, </w:t>
      </w:r>
      <w:proofErr w:type="spellStart"/>
      <w:r>
        <w:rPr>
          <w:sz w:val="28"/>
          <w:szCs w:val="28"/>
        </w:rPr>
        <w:t>д.Толмачевка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д.Новогуровка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газофицированы</w:t>
      </w:r>
      <w:proofErr w:type="spellEnd"/>
      <w:r>
        <w:rPr>
          <w:sz w:val="28"/>
          <w:szCs w:val="28"/>
        </w:rPr>
        <w:t>. Население пользуется баллонным газом.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прокладка газопровода высокого и низкого давлений в                              д. </w:t>
      </w:r>
      <w:proofErr w:type="spellStart"/>
      <w:r>
        <w:rPr>
          <w:sz w:val="28"/>
          <w:szCs w:val="28"/>
        </w:rPr>
        <w:t>Толмачевка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еселовка, </w:t>
      </w:r>
      <w:proofErr w:type="spellStart"/>
      <w:r>
        <w:rPr>
          <w:sz w:val="28"/>
          <w:szCs w:val="28"/>
        </w:rPr>
        <w:t>д.Новогуровка</w:t>
      </w:r>
      <w:proofErr w:type="spellEnd"/>
      <w:r>
        <w:rPr>
          <w:sz w:val="28"/>
          <w:szCs w:val="28"/>
        </w:rPr>
        <w:t>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4.6. Улично-дорожная сеть </w:t>
      </w:r>
    </w:p>
    <w:p w:rsidR="00B521E4" w:rsidRDefault="00B521E4" w:rsidP="00B521E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Транспортная инфраструктура</w:t>
      </w:r>
    </w:p>
    <w:p w:rsidR="00B521E4" w:rsidRDefault="00B521E4" w:rsidP="00B521E4">
      <w:pPr>
        <w:shd w:val="clear" w:color="auto" w:fill="FFFFFF"/>
        <w:ind w:left="180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К вопросам местного значения сельского поселения относятся: дорожная деятельность в отношении автомобильных дорог местного значения в границах населенных пунктов поселения,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РФ, а также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Fonts w:cs="Arial"/>
          <w:color w:val="000000"/>
          <w:sz w:val="28"/>
          <w:szCs w:val="28"/>
        </w:rPr>
        <w:t>.</w:t>
      </w:r>
      <w:proofErr w:type="gramEnd"/>
      <w:r>
        <w:rPr>
          <w:rFonts w:cs="Arial"/>
          <w:color w:val="000000"/>
          <w:sz w:val="28"/>
          <w:szCs w:val="28"/>
        </w:rPr>
        <w:t xml:space="preserve"> По территории сельского поселения проходят автодорога общего пользования районного значения.</w:t>
      </w:r>
    </w:p>
    <w:p w:rsidR="00B521E4" w:rsidRDefault="00B521E4" w:rsidP="00B521E4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Единая система транспорта и улично-дорожной сети в увязке с планировочной структурой поселения и прилегающей к ней территории должны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 </w:t>
      </w:r>
    </w:p>
    <w:p w:rsidR="00B521E4" w:rsidRDefault="00B521E4" w:rsidP="00B521E4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Улицы и дороги на территории поселения запроектированы с учетом внешних и внутренних грузопотоков и противопожарного обслуживания населенных пунктов. </w:t>
      </w:r>
    </w:p>
    <w:p w:rsidR="00B521E4" w:rsidRDefault="00B521E4" w:rsidP="00B521E4">
      <w:pPr>
        <w:shd w:val="clear" w:color="auto" w:fill="FFFFFF"/>
        <w:spacing w:before="120"/>
        <w:ind w:left="1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Классификация улично-дорожной сети</w:t>
      </w:r>
    </w:p>
    <w:p w:rsidR="00B521E4" w:rsidRDefault="00B521E4" w:rsidP="00B521E4">
      <w:pPr>
        <w:shd w:val="clear" w:color="auto" w:fill="FFFFFF"/>
        <w:spacing w:before="120"/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Существующая улично-дорожная сеть</w:t>
      </w:r>
    </w:p>
    <w:p w:rsidR="00B521E4" w:rsidRDefault="00B521E4" w:rsidP="00B521E4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Главная улица - связь жилых территорий с общественным центром.</w:t>
      </w:r>
    </w:p>
    <w:p w:rsidR="00B521E4" w:rsidRDefault="00B521E4" w:rsidP="00B521E4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составе населенных пунктов сельского поселения </w:t>
      </w:r>
      <w:proofErr w:type="spellStart"/>
      <w:r>
        <w:rPr>
          <w:rFonts w:cs="Arial"/>
          <w:sz w:val="28"/>
          <w:szCs w:val="28"/>
        </w:rPr>
        <w:t>Тряпинский</w:t>
      </w:r>
      <w:proofErr w:type="spellEnd"/>
      <w:r>
        <w:rPr>
          <w:rFonts w:cs="Arial"/>
          <w:sz w:val="28"/>
          <w:szCs w:val="28"/>
        </w:rPr>
        <w:t xml:space="preserve"> сельсовет следует 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 центром, зонами отдыха, а так же с внешними автомобильными дорогами.</w:t>
      </w:r>
    </w:p>
    <w:p w:rsidR="00B521E4" w:rsidRDefault="00B521E4" w:rsidP="00B521E4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Пассажирские перевозки осуществляются автобусами предприятия-перевозчика.</w:t>
      </w:r>
    </w:p>
    <w:p w:rsidR="00B521E4" w:rsidRDefault="00B521E4" w:rsidP="00B521E4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На территории сельского поселения расположена остановка общественного транспорта. Предприятия автосервиса на территории сельского поселения отсутствуют.  Перевозки железнодорожным, водным и воздушными видами транспорта на территории сельского поселения не осуществляются.   </w:t>
      </w:r>
    </w:p>
    <w:p w:rsidR="00B521E4" w:rsidRDefault="00B521E4" w:rsidP="00B5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пассажирским транспортом общественного пользования продолжается рост количества индивидуального автотранспорта. </w:t>
      </w:r>
    </w:p>
    <w:p w:rsidR="00B521E4" w:rsidRDefault="00B521E4" w:rsidP="00B521E4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Хранение автомобилей на территории сельского поселения осуществляется в индивидуальных гаражах на приусадебных участках. Открытых площадок для хранения индивидуального транспорта нет. Так же отсутствуют оборудованные площадки для временной парковки автотранспорта перед общественными зданиями.</w:t>
      </w: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мероприятий Программы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B521E4" w:rsidRDefault="00B521E4" w:rsidP="00B521E4">
      <w:pPr>
        <w:jc w:val="both"/>
        <w:rPr>
          <w:b/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формирует перечень объектов, подлежащих включению в Программу (Приложение № 1);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ышестоящие органы.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B521E4" w:rsidRDefault="00B521E4" w:rsidP="00B521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привлечением   средств республиканского бюджета, районного бюджета, других источников финансирования. </w:t>
      </w:r>
      <w:r>
        <w:rPr>
          <w:color w:val="000000"/>
          <w:sz w:val="28"/>
          <w:szCs w:val="28"/>
        </w:rPr>
        <w:t>Общий объем финансирования Программы составляет  25 020 тыс. рублей.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2019-2021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исполнения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</w:p>
    <w:p w:rsidR="00B521E4" w:rsidRDefault="00B521E4" w:rsidP="00B521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B521E4" w:rsidRDefault="00B521E4" w:rsidP="00B52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Успешная реализация Программы позволит:</w:t>
      </w:r>
    </w:p>
    <w:p w:rsidR="00B521E4" w:rsidRDefault="00B521E4" w:rsidP="00B521E4">
      <w:pPr>
        <w:ind w:firstLine="540"/>
        <w:jc w:val="both"/>
        <w:rPr>
          <w:sz w:val="20"/>
          <w:szCs w:val="24"/>
        </w:rPr>
      </w:pPr>
      <w:r>
        <w:rPr>
          <w:sz w:val="28"/>
          <w:szCs w:val="28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</w:t>
      </w: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 xml:space="preserve">ПРИЛОЖЕНИЕ </w:t>
      </w: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 xml:space="preserve">к Программе комплексного развития </w:t>
      </w: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 xml:space="preserve">систем коммунальной инфраструктуры </w:t>
      </w: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Тряпинский</w:t>
      </w:r>
      <w:proofErr w:type="spellEnd"/>
      <w:r>
        <w:rPr>
          <w:sz w:val="20"/>
        </w:rPr>
        <w:t xml:space="preserve"> сельсовет </w:t>
      </w: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Аургазинский</w:t>
      </w:r>
      <w:proofErr w:type="spellEnd"/>
      <w:r>
        <w:rPr>
          <w:sz w:val="20"/>
        </w:rPr>
        <w:t xml:space="preserve"> район </w:t>
      </w:r>
    </w:p>
    <w:p w:rsidR="00B521E4" w:rsidRDefault="00B521E4" w:rsidP="00B521E4">
      <w:pPr>
        <w:ind w:firstLine="4320"/>
        <w:rPr>
          <w:sz w:val="20"/>
        </w:rPr>
      </w:pPr>
      <w:r>
        <w:rPr>
          <w:sz w:val="20"/>
        </w:rPr>
        <w:t>Республики Башкортостан  на 2019-2021 годы</w:t>
      </w:r>
    </w:p>
    <w:p w:rsidR="00B521E4" w:rsidRDefault="00B521E4" w:rsidP="00B521E4">
      <w:pPr>
        <w:rPr>
          <w:sz w:val="24"/>
        </w:rPr>
      </w:pPr>
    </w:p>
    <w:p w:rsidR="00B521E4" w:rsidRDefault="00B521E4" w:rsidP="00B5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B521E4" w:rsidRDefault="00B521E4" w:rsidP="00B521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 сельсовет на 2019 – 2021 годы</w:t>
      </w:r>
    </w:p>
    <w:p w:rsidR="00B521E4" w:rsidRDefault="00B521E4" w:rsidP="00B521E4">
      <w:pPr>
        <w:jc w:val="center"/>
        <w:rPr>
          <w:b/>
          <w:sz w:val="28"/>
          <w:szCs w:val="2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5409"/>
        <w:gridCol w:w="6"/>
        <w:gridCol w:w="1597"/>
        <w:gridCol w:w="1226"/>
        <w:gridCol w:w="1321"/>
      </w:tblGrid>
      <w:tr w:rsidR="00B521E4" w:rsidTr="001A692C">
        <w:trPr>
          <w:trHeight w:val="7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Сумма (тыс.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B521E4" w:rsidTr="001A692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Газоснабжение </w:t>
            </w:r>
          </w:p>
        </w:tc>
      </w:tr>
      <w:tr w:rsidR="00B521E4" w:rsidTr="001A692C">
        <w:trPr>
          <w:trHeight w:val="70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Изготовление проектно-сметной документации  газопровода д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еселовка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бюджет РБ 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РАИП</w:t>
            </w:r>
          </w:p>
        </w:tc>
      </w:tr>
      <w:tr w:rsidR="00B521E4" w:rsidTr="001A692C">
        <w:trPr>
          <w:trHeight w:val="6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Газификация д. </w:t>
            </w:r>
            <w:proofErr w:type="spellStart"/>
            <w:r>
              <w:rPr>
                <w:sz w:val="26"/>
                <w:szCs w:val="26"/>
                <w:lang w:eastAsia="en-US"/>
              </w:rPr>
              <w:t>Толмачевка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протяжностью 6842,6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метров </w:t>
            </w:r>
          </w:p>
          <w:p w:rsidR="00B521E4" w:rsidRDefault="00B521E4" w:rsidP="001A692C">
            <w:pPr>
              <w:spacing w:line="276" w:lineRule="auto"/>
              <w:ind w:firstLine="26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(Высокое давление-4030,3метров</w:t>
            </w:r>
            <w:proofErr w:type="gramEnd"/>
          </w:p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Низкое давление 2812,3метра)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бюджет РБ 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РАИП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521E4" w:rsidTr="001A692C">
        <w:trPr>
          <w:trHeight w:val="6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проектно-сметной документации  газопровода </w:t>
            </w:r>
            <w:proofErr w:type="spellStart"/>
            <w:r>
              <w:rPr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sz w:val="26"/>
                <w:szCs w:val="26"/>
                <w:lang w:eastAsia="en-US"/>
              </w:rPr>
              <w:t>.Н</w:t>
            </w:r>
            <w:proofErr w:type="gramEnd"/>
            <w:r>
              <w:rPr>
                <w:sz w:val="26"/>
                <w:szCs w:val="26"/>
                <w:lang w:eastAsia="en-US"/>
              </w:rPr>
              <w:t>овогуровка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бюджет РБ 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РАИП</w:t>
            </w:r>
          </w:p>
        </w:tc>
      </w:tr>
      <w:tr w:rsidR="00B521E4" w:rsidTr="001A692C">
        <w:trPr>
          <w:trHeight w:val="6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Техническое перевооружение. Замена  котлов и ГРУ в котельной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2019-2021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бюджет РБ </w:t>
            </w:r>
          </w:p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района</w:t>
            </w:r>
          </w:p>
        </w:tc>
      </w:tr>
      <w:tr w:rsidR="00B521E4" w:rsidTr="001A692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521E4" w:rsidTr="001A692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Дорожное строительство и ремонт</w:t>
            </w:r>
          </w:p>
        </w:tc>
      </w:tr>
      <w:tr w:rsidR="00B521E4" w:rsidTr="001A692C">
        <w:trPr>
          <w:trHeight w:val="5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д. Малый </w:t>
            </w:r>
            <w:proofErr w:type="spellStart"/>
            <w:r>
              <w:rPr>
                <w:sz w:val="26"/>
                <w:szCs w:val="26"/>
                <w:lang w:eastAsia="en-US"/>
              </w:rPr>
              <w:t>Нагадак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протяженностью 500 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РБ</w:t>
            </w:r>
          </w:p>
        </w:tc>
      </w:tr>
      <w:tr w:rsidR="00B521E4" w:rsidTr="001A692C">
        <w:trPr>
          <w:trHeight w:val="5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д. </w:t>
            </w:r>
            <w:proofErr w:type="spellStart"/>
            <w:r>
              <w:rPr>
                <w:sz w:val="26"/>
                <w:szCs w:val="26"/>
                <w:lang w:eastAsia="en-US"/>
              </w:rPr>
              <w:t>Толмачевка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протяженностью 500 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РБ</w:t>
            </w:r>
          </w:p>
        </w:tc>
      </w:tr>
      <w:tr w:rsidR="00B521E4" w:rsidTr="001A692C">
        <w:trPr>
          <w:trHeight w:val="5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sz w:val="26"/>
                <w:szCs w:val="26"/>
                <w:lang w:eastAsia="en-US"/>
              </w:rPr>
              <w:t>ряпино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протяженностью 500 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РБ</w:t>
            </w:r>
          </w:p>
        </w:tc>
      </w:tr>
      <w:tr w:rsidR="00B521E4" w:rsidTr="001A692C">
        <w:trPr>
          <w:trHeight w:val="5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Установка дорожных знаков и разметки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СП</w:t>
            </w:r>
          </w:p>
        </w:tc>
      </w:tr>
      <w:tr w:rsidR="00B521E4" w:rsidTr="001A692C">
        <w:trPr>
          <w:trHeight w:val="37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ind w:firstLine="26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521E4" w:rsidTr="001A692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ВСЕГО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4" w:rsidRDefault="00B521E4" w:rsidP="001A692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521E4" w:rsidRDefault="00B521E4" w:rsidP="00B521E4">
      <w:pPr>
        <w:jc w:val="center"/>
        <w:rPr>
          <w:b/>
          <w:sz w:val="28"/>
          <w:szCs w:val="28"/>
        </w:rPr>
      </w:pPr>
    </w:p>
    <w:p w:rsidR="00B521E4" w:rsidRDefault="00B521E4" w:rsidP="00B521E4">
      <w:pPr>
        <w:jc w:val="both"/>
        <w:rPr>
          <w:b/>
          <w:szCs w:val="28"/>
        </w:rPr>
      </w:pPr>
    </w:p>
    <w:p w:rsidR="00B521E4" w:rsidRDefault="00B521E4" w:rsidP="00B521E4">
      <w:pPr>
        <w:jc w:val="both"/>
        <w:rPr>
          <w:b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21E4"/>
    <w:rsid w:val="004C4BDF"/>
    <w:rsid w:val="00981642"/>
    <w:rsid w:val="00B521E4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521E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52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52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52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1E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521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2755</Words>
  <Characters>15710</Characters>
  <Application>Microsoft Office Word</Application>
  <DocSecurity>0</DocSecurity>
  <Lines>130</Lines>
  <Paragraphs>36</Paragraphs>
  <ScaleCrop>false</ScaleCrop>
  <Company>Сельсовет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2019-08-28T07:40:00Z</dcterms:created>
  <dcterms:modified xsi:type="dcterms:W3CDTF">2019-08-28T07:41:00Z</dcterms:modified>
</cp:coreProperties>
</file>