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831417" w:rsidRPr="003934E4" w:rsidTr="00B42241">
        <w:tc>
          <w:tcPr>
            <w:tcW w:w="4099" w:type="dxa"/>
          </w:tcPr>
          <w:p w:rsidR="00831417" w:rsidRPr="00DE4D17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831417" w:rsidRPr="00DE4D17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831417" w:rsidRPr="00DE4D17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Ауыр</w:t>
            </w:r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>азы районы муниципаль районыны</w:t>
            </w:r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ауыл советы ауыл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831417" w:rsidRPr="00DE4D17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831417" w:rsidRPr="00DE4D17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831417" w:rsidRPr="003934E4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453485, Ауыр</w:t>
            </w:r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азы районы,  Терэпэауылы,</w:t>
            </w:r>
          </w:p>
          <w:p w:rsidR="00831417" w:rsidRPr="003934E4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417" w:rsidRPr="003934E4" w:rsidRDefault="00831417" w:rsidP="00B4224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78.1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9591487" r:id="rId5"/>
              </w:object>
            </w:r>
          </w:p>
          <w:p w:rsidR="00831417" w:rsidRPr="003934E4" w:rsidRDefault="00831417" w:rsidP="00B4224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831417" w:rsidRPr="003934E4" w:rsidRDefault="00831417" w:rsidP="00B42241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831417" w:rsidRPr="00DE4D17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831417" w:rsidRPr="00DE4D17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831417" w:rsidRPr="003934E4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>Совет сельского поселения Тряпинский сельсовет муниципального района Аургазинский район</w:t>
            </w:r>
          </w:p>
          <w:p w:rsidR="00831417" w:rsidRPr="003934E4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831417" w:rsidRPr="003934E4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453485, Аургазинский район, 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ряпино,</w:t>
            </w:r>
          </w:p>
          <w:p w:rsidR="00831417" w:rsidRPr="003934E4" w:rsidRDefault="00831417" w:rsidP="00B4224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831417" w:rsidRPr="003934E4" w:rsidRDefault="00831417" w:rsidP="00831417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831417" w:rsidRDefault="00831417" w:rsidP="008314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сельского поселения  Тряпинский сельсовет муниципального</w:t>
      </w:r>
    </w:p>
    <w:p w:rsidR="00831417" w:rsidRDefault="00831417" w:rsidP="008314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Аургазинский район Республики Башкортостан</w:t>
      </w:r>
    </w:p>
    <w:p w:rsidR="00831417" w:rsidRDefault="00831417" w:rsidP="00831417">
      <w:pPr>
        <w:jc w:val="center"/>
        <w:rPr>
          <w:b/>
          <w:sz w:val="26"/>
          <w:szCs w:val="26"/>
        </w:rPr>
      </w:pPr>
    </w:p>
    <w:p w:rsidR="00831417" w:rsidRDefault="00831417" w:rsidP="00831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1417" w:rsidRDefault="00831417" w:rsidP="00831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24.10. 2018                                                                                        № 189</w:t>
      </w:r>
    </w:p>
    <w:p w:rsidR="00831417" w:rsidRDefault="00831417" w:rsidP="00831417">
      <w:pPr>
        <w:jc w:val="both"/>
        <w:rPr>
          <w:sz w:val="28"/>
          <w:szCs w:val="28"/>
        </w:rPr>
      </w:pPr>
    </w:p>
    <w:p w:rsidR="00831417" w:rsidRDefault="00831417" w:rsidP="00831417">
      <w:pPr>
        <w:jc w:val="both"/>
        <w:rPr>
          <w:sz w:val="28"/>
          <w:szCs w:val="28"/>
        </w:rPr>
      </w:pPr>
    </w:p>
    <w:p w:rsidR="00831417" w:rsidRDefault="00831417" w:rsidP="00831417">
      <w:pPr>
        <w:pStyle w:val="a3"/>
        <w:ind w:right="-5"/>
        <w:jc w:val="center"/>
        <w:rPr>
          <w:b/>
          <w:bCs/>
        </w:rPr>
      </w:pPr>
      <w:r>
        <w:rPr>
          <w:b/>
        </w:rPr>
        <w:t xml:space="preserve">О внесении изменений и дополнений                                                                                   в Устав </w:t>
      </w:r>
      <w:r>
        <w:rPr>
          <w:b/>
          <w:bCs/>
          <w:szCs w:val="28"/>
        </w:rPr>
        <w:t>сельского поселения Тряпинский сельсовет</w:t>
      </w:r>
      <w:r>
        <w:rPr>
          <w:b/>
          <w:szCs w:val="28"/>
        </w:rPr>
        <w:t>муниципального районаАургазинский район</w:t>
      </w:r>
      <w:r>
        <w:rPr>
          <w:b/>
        </w:rPr>
        <w:t xml:space="preserve"> Республики Башкортостан</w:t>
      </w:r>
      <w:r>
        <w:rPr>
          <w:b/>
          <w:bCs/>
        </w:rPr>
        <w:t>»</w:t>
      </w:r>
    </w:p>
    <w:p w:rsidR="00831417" w:rsidRDefault="00831417" w:rsidP="00831417">
      <w:pPr>
        <w:pStyle w:val="a3"/>
        <w:ind w:right="-5"/>
        <w:jc w:val="center"/>
        <w:rPr>
          <w:b/>
          <w:bCs/>
        </w:rPr>
      </w:pPr>
    </w:p>
    <w:p w:rsidR="00831417" w:rsidRDefault="00831417" w:rsidP="00831417">
      <w:pPr>
        <w:pStyle w:val="a3"/>
        <w:ind w:right="-5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31417" w:rsidRPr="004012A2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Тряпинский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Аургазинский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831417" w:rsidRPr="004012A2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17" w:rsidRPr="004012A2" w:rsidRDefault="00831417" w:rsidP="0083141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238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62384">
        <w:rPr>
          <w:rFonts w:ascii="Times New Roman" w:hAnsi="Times New Roman"/>
          <w:b/>
          <w:sz w:val="28"/>
          <w:szCs w:val="28"/>
        </w:rPr>
        <w:t xml:space="preserve"> Е Ш И Л</w:t>
      </w:r>
      <w:r w:rsidRPr="004012A2">
        <w:rPr>
          <w:rFonts w:ascii="Times New Roman" w:hAnsi="Times New Roman"/>
          <w:sz w:val="28"/>
          <w:szCs w:val="28"/>
        </w:rPr>
        <w:t xml:space="preserve"> :</w:t>
      </w:r>
    </w:p>
    <w:p w:rsidR="00831417" w:rsidRPr="004012A2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Тряпинский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Аургазинский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31417" w:rsidRPr="00D21C05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hyperlink r:id="rId6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831417" w:rsidRPr="00B01D3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31417" w:rsidRPr="00456425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0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>
        <w:rPr>
          <w:rFonts w:ascii="Times New Roman" w:hAnsi="Times New Roman"/>
          <w:sz w:val="28"/>
          <w:szCs w:val="28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1.2.1.пункт 12 признать утратившим силу;</w:t>
      </w:r>
    </w:p>
    <w:p w:rsidR="00831417" w:rsidRPr="00F45A91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5и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831417" w:rsidRPr="00102B9F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831417" w:rsidRPr="00F45A91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831417" w:rsidRPr="00F45A91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31417" w:rsidRPr="00F45A91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831417" w:rsidRPr="00F45A91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CC532D">
        <w:rPr>
          <w:rFonts w:ascii="Times New Roman" w:hAnsi="Times New Roman"/>
          <w:sz w:val="28"/>
          <w:szCs w:val="28"/>
        </w:rPr>
        <w:t>с</w:t>
      </w:r>
      <w:proofErr w:type="gramEnd"/>
      <w:r w:rsidRPr="00CC532D">
        <w:rPr>
          <w:rFonts w:ascii="Times New Roman" w:hAnsi="Times New Roman"/>
          <w:sz w:val="28"/>
          <w:szCs w:val="28"/>
        </w:rPr>
        <w:t>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представительного органа местного самоуправленияо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схода граждан должно содержать: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>4. Старостой сельского населенного пункта не может быть назначено лицо: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831417" w:rsidRPr="00102B9F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31417" w:rsidRPr="00CC532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831417" w:rsidRDefault="00831417" w:rsidP="00831417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</w:p>
    <w:p w:rsidR="00831417" w:rsidRPr="00F45A91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831417" w:rsidRPr="00646B49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831417" w:rsidRPr="00F45A91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дополнитьпунктом 2.1 следующего содержания: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831417" w:rsidRPr="00F45A91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831417" w:rsidRPr="008C1151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831417" w:rsidRPr="008C1151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8C1151">
        <w:rPr>
          <w:rFonts w:ascii="Times New Roman" w:hAnsi="Times New Roman"/>
          <w:sz w:val="28"/>
          <w:szCs w:val="28"/>
        </w:rPr>
        <w:t>.»;</w:t>
      </w:r>
      <w:proofErr w:type="gramEnd"/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31417" w:rsidRPr="00110380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831417" w:rsidRPr="00360820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831417" w:rsidRDefault="00831417" w:rsidP="00831417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lastRenderedPageBreak/>
        <w:t xml:space="preserve">При этом если до истечения срока полномочий Совета осталось менеешести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831417" w:rsidRDefault="00831417" w:rsidP="00831417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831417" w:rsidRPr="00360820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831417" w:rsidRDefault="00831417" w:rsidP="00831417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831417" w:rsidRDefault="00831417" w:rsidP="008314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территорииСельского поселения, включая архитектурную подсветку зданий, строений, сооружений;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организации озеленения территорииСельского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территорииСельского поселения, в том числе установки указателей с наименованиями улиц и номерами домов, вывесок;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территорииСельского поселения, в том числе в зимний период;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территорииСельского поселения;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территорииСельского поселения;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31417" w:rsidRPr="009F14E5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</w:p>
    <w:p w:rsidR="00831417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831417" w:rsidRPr="0074420D" w:rsidRDefault="00831417" w:rsidP="00831417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831417" w:rsidRPr="0074420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831417" w:rsidRPr="0074420D" w:rsidRDefault="00831417" w:rsidP="008314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31417" w:rsidRPr="0074420D" w:rsidRDefault="00831417" w:rsidP="00831417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</w:t>
      </w:r>
      <w:r w:rsidRPr="0074420D">
        <w:rPr>
          <w:szCs w:val="28"/>
        </w:rPr>
        <w:lastRenderedPageBreak/>
        <w:t>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831417" w:rsidRPr="0074420D" w:rsidRDefault="00831417" w:rsidP="00831417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831417" w:rsidRDefault="00831417" w:rsidP="00831417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831417" w:rsidRPr="00360820" w:rsidRDefault="00831417" w:rsidP="00831417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831417" w:rsidRDefault="00831417" w:rsidP="00831417">
      <w:pPr>
        <w:ind w:firstLine="709"/>
        <w:rPr>
          <w:sz w:val="28"/>
          <w:szCs w:val="28"/>
        </w:rPr>
      </w:pPr>
    </w:p>
    <w:p w:rsidR="00831417" w:rsidRPr="00360820" w:rsidRDefault="00831417" w:rsidP="00831417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831417" w:rsidRPr="00360820" w:rsidRDefault="00831417" w:rsidP="00831417">
      <w:pPr>
        <w:ind w:firstLine="709"/>
        <w:rPr>
          <w:sz w:val="28"/>
          <w:szCs w:val="28"/>
        </w:rPr>
      </w:pPr>
    </w:p>
    <w:p w:rsidR="00831417" w:rsidRDefault="00831417" w:rsidP="00831417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831417" w:rsidRPr="00AF442E" w:rsidRDefault="00831417" w:rsidP="00831417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1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831417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2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831417" w:rsidRPr="00646585" w:rsidRDefault="00831417" w:rsidP="0083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>
        <w:rPr>
          <w:sz w:val="28"/>
          <w:szCs w:val="28"/>
        </w:rPr>
        <w:t>на официальном  с</w:t>
      </w:r>
      <w:r w:rsidRPr="00FD08B7">
        <w:rPr>
          <w:sz w:val="28"/>
          <w:szCs w:val="28"/>
        </w:rPr>
        <w:t xml:space="preserve">тенде Администрации сельского поселения </w:t>
      </w:r>
      <w:r>
        <w:rPr>
          <w:sz w:val="28"/>
          <w:szCs w:val="28"/>
        </w:rPr>
        <w:t>Тряпинский</w:t>
      </w:r>
      <w:r w:rsidRPr="00FD08B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Аургазинский </w:t>
      </w:r>
      <w:r w:rsidRPr="00FD08B7">
        <w:rPr>
          <w:sz w:val="28"/>
          <w:szCs w:val="28"/>
        </w:rPr>
        <w:t>район Республики Башкортостан</w:t>
      </w:r>
      <w:r w:rsidRPr="00646585">
        <w:rPr>
          <w:sz w:val="28"/>
          <w:szCs w:val="28"/>
        </w:rPr>
        <w:t xml:space="preserve"> после его государственной регистрации.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1417"/>
    <w:rsid w:val="004C4BDF"/>
    <w:rsid w:val="00831417"/>
    <w:rsid w:val="0083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1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1417"/>
    <w:rPr>
      <w:sz w:val="28"/>
    </w:rPr>
  </w:style>
  <w:style w:type="character" w:customStyle="1" w:styleId="a4">
    <w:name w:val="Основной текст Знак"/>
    <w:basedOn w:val="a0"/>
    <w:link w:val="a3"/>
    <w:rsid w:val="00831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831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8314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3240</Words>
  <Characters>18470</Characters>
  <Application>Microsoft Office Word</Application>
  <DocSecurity>0</DocSecurity>
  <Lines>153</Lines>
  <Paragraphs>43</Paragraphs>
  <ScaleCrop>false</ScaleCrop>
  <Company>Сельсовет</Company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2019-01-21T11:56:00Z</dcterms:created>
  <dcterms:modified xsi:type="dcterms:W3CDTF">2019-01-21T11:56:00Z</dcterms:modified>
</cp:coreProperties>
</file>