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D104FD" w:rsidRPr="00D104FD" w:rsidTr="00BE4BA5">
        <w:trPr>
          <w:trHeight w:val="2114"/>
        </w:trPr>
        <w:tc>
          <w:tcPr>
            <w:tcW w:w="4280" w:type="dxa"/>
          </w:tcPr>
          <w:p w:rsidR="00D104FD" w:rsidRPr="00D104FD" w:rsidRDefault="00D104FD" w:rsidP="00D104F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D104FD" w:rsidRPr="00D104FD" w:rsidRDefault="00D104FD" w:rsidP="00D104F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D104F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D104FD" w:rsidRPr="00D104FD" w:rsidRDefault="00D104FD" w:rsidP="00D104F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104FD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D104FD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D104F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D104F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D104FD" w:rsidRPr="00D104FD" w:rsidRDefault="00D104FD" w:rsidP="00D104F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104F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D104F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D104FD" w:rsidRPr="00D104FD" w:rsidRDefault="00D104FD" w:rsidP="00D104F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04FD" w:rsidRPr="00D104FD" w:rsidRDefault="00D104FD" w:rsidP="00D104F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04FD" w:rsidRPr="00D104FD" w:rsidRDefault="00D104FD" w:rsidP="00D104F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104F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D104F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D104FD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ғ</w:t>
            </w:r>
            <w:r w:rsidRPr="00D104F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Тер</w:t>
            </w:r>
            <w:r w:rsidRPr="00D104FD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proofErr w:type="gramStart"/>
            <w:r w:rsidRPr="00D104F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п</w:t>
            </w:r>
            <w:proofErr w:type="gramEnd"/>
            <w:r w:rsidRPr="00D104FD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104F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D104F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D104FD" w:rsidRPr="00D104FD" w:rsidRDefault="00D104FD" w:rsidP="00D104F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104F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04FD" w:rsidRPr="00D104FD" w:rsidRDefault="00D104FD" w:rsidP="00D104F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423647185" r:id="rId9"/>
              </w:object>
            </w:r>
          </w:p>
          <w:p w:rsidR="00D104FD" w:rsidRPr="00D104FD" w:rsidRDefault="00D104FD" w:rsidP="00D104F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D104FD" w:rsidRPr="00D104FD" w:rsidRDefault="00D104FD" w:rsidP="00D104F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04F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D104FD" w:rsidRPr="00D104FD" w:rsidRDefault="00D104FD" w:rsidP="00D104F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D104FD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D104FD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D104FD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D104FD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104FD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D104FD" w:rsidRPr="00D104FD" w:rsidRDefault="00D104FD" w:rsidP="00D104F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D104FD" w:rsidRPr="00D104FD" w:rsidRDefault="00D104FD" w:rsidP="00D104F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104F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D104F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D104F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D104F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D104F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D104F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D104F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D104FD" w:rsidRPr="00D104FD" w:rsidRDefault="00D104FD" w:rsidP="00D104F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104F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D104FD" w:rsidRPr="00D104FD" w:rsidRDefault="00D104FD" w:rsidP="00D10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104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104FD" w:rsidRPr="00D104FD" w:rsidRDefault="00D104FD" w:rsidP="00D1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D104FD" w:rsidRPr="00D104FD" w:rsidRDefault="00D104FD" w:rsidP="00D104FD">
      <w:pPr>
        <w:tabs>
          <w:tab w:val="left" w:pos="3450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D1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сельского  поселения  </w:t>
      </w:r>
      <w:proofErr w:type="spellStart"/>
      <w:r w:rsidRPr="00D104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1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</w:t>
      </w:r>
      <w:r w:rsidRPr="00D104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муниципального  района  Аургазинский район Республики Башкортостан</w:t>
      </w:r>
    </w:p>
    <w:p w:rsidR="00D104FD" w:rsidRPr="00D104FD" w:rsidRDefault="00D104FD" w:rsidP="00D10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>28.02.2013                                                                                                          № 156</w:t>
      </w:r>
    </w:p>
    <w:p w:rsidR="00D104FD" w:rsidRPr="00D104FD" w:rsidRDefault="00D104FD" w:rsidP="00D1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организации и осуществления </w:t>
      </w:r>
    </w:p>
    <w:p w:rsidR="00D104FD" w:rsidRPr="00D104FD" w:rsidRDefault="00D104FD" w:rsidP="00D1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приема граждан депутатами Совета сельского поселения </w:t>
      </w:r>
    </w:p>
    <w:p w:rsidR="00D104FD" w:rsidRPr="00D104FD" w:rsidRDefault="00D104FD" w:rsidP="00D1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>Тряпинский</w:t>
      </w:r>
      <w:proofErr w:type="spellEnd"/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D104FD" w:rsidRPr="00D104FD" w:rsidRDefault="00D104FD" w:rsidP="00D1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D104FD" w:rsidRPr="00D104FD" w:rsidRDefault="00D104FD" w:rsidP="00D10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4FD" w:rsidRPr="00D104FD" w:rsidRDefault="00D104FD" w:rsidP="00D104F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статьи 12.1. Закона Республики Башкортостан от 18.03.2005 № 162-з «О местном самоуправлении в Республике Башкортостан», статьи 8 Закона Республики Башкортостан от 19.07.2012 № 575-з «О гарантиях осуществления полномочий депутата, члена выборного органа, выборного должностного лица местного самоуправления», статьи 21 Устава сельского поселения </w:t>
      </w:r>
      <w:proofErr w:type="spellStart"/>
      <w:r w:rsidRPr="00D104FD">
        <w:rPr>
          <w:rFonts w:ascii="Times New Roman" w:eastAsia="Times New Roman" w:hAnsi="Times New Roman" w:cs="Times New Roman"/>
          <w:sz w:val="28"/>
          <w:szCs w:val="28"/>
        </w:rPr>
        <w:t>Тряпинский</w:t>
      </w:r>
      <w:proofErr w:type="spellEnd"/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04FD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</w:p>
    <w:p w:rsidR="00D104FD" w:rsidRPr="00D104FD" w:rsidRDefault="00D104FD" w:rsidP="00D10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104FD" w:rsidRPr="00D104FD" w:rsidRDefault="00D104FD" w:rsidP="00D104FD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организации и осуществления приема граждан депутатами Совета сельского поселения </w:t>
      </w:r>
      <w:proofErr w:type="spellStart"/>
      <w:r w:rsidRPr="00D104FD">
        <w:rPr>
          <w:rFonts w:ascii="Times New Roman" w:eastAsia="Times New Roman" w:hAnsi="Times New Roman" w:cs="Times New Roman"/>
          <w:sz w:val="28"/>
          <w:szCs w:val="28"/>
        </w:rPr>
        <w:t>Тряпинский</w:t>
      </w:r>
      <w:proofErr w:type="spellEnd"/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04FD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(приложение).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</w:t>
      </w:r>
      <w:proofErr w:type="gramStart"/>
      <w:r w:rsidRPr="00D104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 сельского поселения </w:t>
      </w:r>
      <w:proofErr w:type="spellStart"/>
      <w:r w:rsidRPr="00D104FD">
        <w:rPr>
          <w:rFonts w:ascii="Times New Roman" w:eastAsia="Times New Roman" w:hAnsi="Times New Roman" w:cs="Times New Roman"/>
          <w:sz w:val="28"/>
          <w:szCs w:val="28"/>
        </w:rPr>
        <w:t>Тряпинский</w:t>
      </w:r>
      <w:proofErr w:type="spellEnd"/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04FD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И.С. Захарову                                     3. Настоящее решение подлежит опубликованию на сайте сельского поселения </w:t>
      </w:r>
      <w:proofErr w:type="spellStart"/>
      <w:r w:rsidRPr="00D104FD">
        <w:rPr>
          <w:rFonts w:ascii="Times New Roman" w:eastAsia="Times New Roman" w:hAnsi="Times New Roman" w:cs="Times New Roman"/>
          <w:sz w:val="28"/>
          <w:szCs w:val="28"/>
        </w:rPr>
        <w:t>Тряпинский</w:t>
      </w:r>
      <w:proofErr w:type="spellEnd"/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04FD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10" w:history="1">
        <w:r w:rsidRPr="00D104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D104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hyperlink r:id="rId11" w:history="1">
          <w:r w:rsidRPr="00D104FD">
            <w:rPr>
              <w:rFonts w:ascii="Times New Roman" w:eastAsia="Times New Roman" w:hAnsi="Times New Roman" w:cs="Times New Roman"/>
              <w:color w:val="0000FF"/>
              <w:sz w:val="24"/>
              <w:szCs w:val="28"/>
              <w:u w:val="single"/>
              <w:lang w:val="en-US" w:eastAsia="ru-RU"/>
            </w:rPr>
            <w:t>www</w:t>
          </w:r>
          <w:r w:rsidRPr="00D104FD">
            <w:rPr>
              <w:rFonts w:ascii="Times New Roman" w:eastAsia="Times New Roman" w:hAnsi="Times New Roman" w:cs="Times New Roman"/>
              <w:color w:val="0000FF"/>
              <w:sz w:val="24"/>
              <w:szCs w:val="28"/>
              <w:u w:val="single"/>
              <w:lang w:eastAsia="ru-RU"/>
            </w:rPr>
            <w:t xml:space="preserve">. </w:t>
          </w:r>
          <w:r w:rsidRPr="00D104FD">
            <w:rPr>
              <w:rFonts w:ascii="Times New Roman" w:eastAsia="Times New Roman" w:hAnsi="Times New Roman" w:cs="Times New Roman"/>
              <w:color w:val="0000FF"/>
              <w:sz w:val="24"/>
              <w:szCs w:val="28"/>
              <w:u w:val="single"/>
              <w:lang w:val="en-US" w:eastAsia="ru-RU"/>
            </w:rPr>
            <w:t>sp</w:t>
          </w:r>
          <w:r w:rsidRPr="00D104FD">
            <w:rPr>
              <w:rFonts w:ascii="Times New Roman" w:eastAsia="Times New Roman" w:hAnsi="Times New Roman" w:cs="Times New Roman"/>
              <w:color w:val="0000FF"/>
              <w:sz w:val="24"/>
              <w:szCs w:val="28"/>
              <w:u w:val="single"/>
              <w:lang w:eastAsia="ru-RU"/>
            </w:rPr>
            <w:t>-</w:t>
          </w:r>
          <w:r w:rsidRPr="00D104FD">
            <w:rPr>
              <w:rFonts w:ascii="Times New Roman" w:eastAsia="Times New Roman" w:hAnsi="Times New Roman" w:cs="Times New Roman"/>
              <w:color w:val="0000FF"/>
              <w:sz w:val="24"/>
              <w:szCs w:val="28"/>
              <w:u w:val="single"/>
              <w:lang w:val="en-US" w:eastAsia="ru-RU"/>
            </w:rPr>
            <w:t>traypino</w:t>
          </w:r>
          <w:r w:rsidRPr="00D104FD">
            <w:rPr>
              <w:rFonts w:ascii="Times New Roman" w:eastAsia="Times New Roman" w:hAnsi="Times New Roman" w:cs="Times New Roman"/>
              <w:color w:val="0000FF"/>
              <w:sz w:val="24"/>
              <w:szCs w:val="28"/>
              <w:u w:val="single"/>
              <w:lang w:eastAsia="ru-RU"/>
            </w:rPr>
            <w:t>.</w:t>
          </w:r>
          <w:r w:rsidRPr="00D104FD">
            <w:rPr>
              <w:rFonts w:ascii="Times New Roman" w:eastAsia="Times New Roman" w:hAnsi="Times New Roman" w:cs="Times New Roman"/>
              <w:color w:val="0000FF"/>
              <w:sz w:val="24"/>
              <w:szCs w:val="28"/>
              <w:u w:val="single"/>
              <w:lang w:val="en-US" w:eastAsia="ru-RU"/>
            </w:rPr>
            <w:t>ru</w:t>
          </w:r>
        </w:hyperlink>
        <w:r w:rsidRPr="00D104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04FD">
        <w:rPr>
          <w:rFonts w:ascii="Times New Roman" w:eastAsia="Times New Roman" w:hAnsi="Times New Roman" w:cs="Times New Roman"/>
          <w:sz w:val="28"/>
          <w:szCs w:val="28"/>
        </w:rPr>
        <w:t>и вступает в силу по истечении десяти дней после дня официального опубликования.</w:t>
      </w:r>
    </w:p>
    <w:p w:rsidR="00D104FD" w:rsidRPr="00D104FD" w:rsidRDefault="00D104FD" w:rsidP="00D104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D104FD" w:rsidRPr="00D104FD" w:rsidRDefault="00D104FD" w:rsidP="00D104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D104FD" w:rsidRPr="00D104FD" w:rsidRDefault="00D104FD" w:rsidP="00D104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04FD">
        <w:rPr>
          <w:rFonts w:ascii="Times New Roman" w:eastAsia="Times New Roman" w:hAnsi="Times New Roman" w:cs="Times New Roman"/>
          <w:color w:val="000000"/>
          <w:sz w:val="28"/>
          <w:szCs w:val="28"/>
        </w:rPr>
        <w:t>Тряпинский</w:t>
      </w:r>
      <w:proofErr w:type="spellEnd"/>
      <w:r w:rsidRPr="00D1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D104FD" w:rsidRPr="00D104FD" w:rsidRDefault="00D104FD" w:rsidP="00D104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D104FD" w:rsidRPr="00D104FD" w:rsidRDefault="00D104FD" w:rsidP="00D104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04FD"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Pr="00D1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D104FD" w:rsidRPr="00D104FD" w:rsidRDefault="00D104FD" w:rsidP="00D104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Pr="00D104FD">
        <w:rPr>
          <w:rFonts w:ascii="Times New Roman" w:eastAsia="Times New Roman" w:hAnsi="Times New Roman" w:cs="Times New Roman"/>
          <w:sz w:val="28"/>
          <w:szCs w:val="28"/>
        </w:rPr>
        <w:tab/>
      </w:r>
      <w:r w:rsidRPr="00D104FD">
        <w:rPr>
          <w:rFonts w:ascii="Times New Roman" w:eastAsia="Times New Roman" w:hAnsi="Times New Roman" w:cs="Times New Roman"/>
          <w:sz w:val="28"/>
          <w:szCs w:val="28"/>
        </w:rPr>
        <w:tab/>
      </w:r>
      <w:r w:rsidRPr="00D104FD">
        <w:rPr>
          <w:rFonts w:ascii="Times New Roman" w:eastAsia="Times New Roman" w:hAnsi="Times New Roman" w:cs="Times New Roman"/>
          <w:sz w:val="28"/>
          <w:szCs w:val="28"/>
        </w:rPr>
        <w:tab/>
      </w:r>
      <w:r w:rsidRPr="00D104FD">
        <w:rPr>
          <w:rFonts w:ascii="Times New Roman" w:eastAsia="Times New Roman" w:hAnsi="Times New Roman" w:cs="Times New Roman"/>
          <w:sz w:val="28"/>
          <w:szCs w:val="28"/>
        </w:rPr>
        <w:tab/>
      </w:r>
      <w:r w:rsidRPr="00D104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И.С. Захарова </w:t>
      </w:r>
    </w:p>
    <w:p w:rsidR="00D104FD" w:rsidRPr="00D104FD" w:rsidRDefault="00D104FD" w:rsidP="00D104FD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104FD" w:rsidRPr="00D104FD" w:rsidRDefault="00D104FD" w:rsidP="00D10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решению Совета </w:t>
      </w:r>
      <w:r w:rsidRPr="00D1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D104FD" w:rsidRPr="00D104FD" w:rsidRDefault="00D104FD" w:rsidP="00D10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04FD">
        <w:rPr>
          <w:rFonts w:ascii="Times New Roman" w:eastAsia="Times New Roman" w:hAnsi="Times New Roman" w:cs="Times New Roman"/>
          <w:color w:val="000000"/>
          <w:sz w:val="28"/>
          <w:szCs w:val="28"/>
        </w:rPr>
        <w:t>Тряпинский</w:t>
      </w:r>
      <w:proofErr w:type="spellEnd"/>
      <w:r w:rsidRPr="00D1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</w:p>
    <w:p w:rsidR="00D104FD" w:rsidRPr="00D104FD" w:rsidRDefault="00D104FD" w:rsidP="00D104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04FD"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proofErr w:type="spellEnd"/>
      <w:r w:rsidRPr="00D1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D104FD" w:rsidRPr="00D104FD" w:rsidRDefault="00D104FD" w:rsidP="00D10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от «28» февраля  2013 г. № 156</w:t>
      </w:r>
    </w:p>
    <w:p w:rsidR="00D104FD" w:rsidRPr="00D104FD" w:rsidRDefault="00D104FD" w:rsidP="00D104FD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4FD" w:rsidRPr="00D104FD" w:rsidRDefault="00D104FD" w:rsidP="00D104FD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4FD" w:rsidRPr="00D104FD" w:rsidRDefault="00D104FD" w:rsidP="00D104FD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организации и осуществления приема граждан депутатами Совета сельского поселения </w:t>
      </w:r>
      <w:proofErr w:type="spellStart"/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>Тряпинский</w:t>
      </w:r>
      <w:proofErr w:type="spellEnd"/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</w:p>
    <w:p w:rsidR="00D104FD" w:rsidRPr="00D104FD" w:rsidRDefault="00D104FD" w:rsidP="00D104FD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D104FD" w:rsidRPr="00D104FD" w:rsidRDefault="00D104FD" w:rsidP="00D104FD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D104FD" w:rsidRPr="00D104FD" w:rsidRDefault="00D104FD" w:rsidP="00D104FD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4FD" w:rsidRPr="00D104FD" w:rsidRDefault="00D104FD" w:rsidP="00D104FD">
      <w:pPr>
        <w:tabs>
          <w:tab w:val="left" w:pos="142"/>
          <w:tab w:val="left" w:pos="284"/>
          <w:tab w:val="left" w:pos="567"/>
        </w:tabs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104F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депутатами Совета сельского поселения </w:t>
      </w:r>
      <w:proofErr w:type="spellStart"/>
      <w:r w:rsidRPr="00D104FD">
        <w:rPr>
          <w:rFonts w:ascii="Times New Roman" w:eastAsia="Times New Roman" w:hAnsi="Times New Roman" w:cs="Times New Roman"/>
          <w:sz w:val="28"/>
          <w:szCs w:val="28"/>
        </w:rPr>
        <w:t>Тряпинский</w:t>
      </w:r>
      <w:proofErr w:type="spellEnd"/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04FD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прием) – форма деятельности депутата Совета сельского поселения </w:t>
      </w:r>
      <w:proofErr w:type="spellStart"/>
      <w:r w:rsidRPr="00D104FD">
        <w:rPr>
          <w:rFonts w:ascii="Times New Roman" w:eastAsia="Times New Roman" w:hAnsi="Times New Roman" w:cs="Times New Roman"/>
          <w:sz w:val="28"/>
          <w:szCs w:val="28"/>
        </w:rPr>
        <w:t>Тряпинский</w:t>
      </w:r>
      <w:proofErr w:type="spellEnd"/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04FD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депутат).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D104FD" w:rsidRPr="00D104FD" w:rsidRDefault="00D104FD" w:rsidP="00D104FD">
      <w:pPr>
        <w:tabs>
          <w:tab w:val="left" w:pos="142"/>
        </w:tabs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104FD">
        <w:rPr>
          <w:rFonts w:ascii="Times New Roman" w:eastAsia="Times New Roman" w:hAnsi="Times New Roman" w:cs="Times New Roman"/>
          <w:sz w:val="28"/>
          <w:szCs w:val="28"/>
        </w:rPr>
        <w:t>Прием граждан депутатами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иными федеральными законами, Законами Республики Башкортостан от 18.03.2005 № 162-з «О местном самоуправлении в Республике Башкортостан», от 19.07.2012 № 575-з «О гарантиях осуществления полномочий депутата, члена выборного органа, выборного должностного лица</w:t>
      </w:r>
      <w:proofErr w:type="gramEnd"/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самоуправления», Уставом муниципального образования, настоящим Порядком и иными муниципальными правовыми актами.</w:t>
      </w:r>
    </w:p>
    <w:p w:rsidR="00D104FD" w:rsidRPr="00D104FD" w:rsidRDefault="00D104FD" w:rsidP="00D104FD">
      <w:pPr>
        <w:tabs>
          <w:tab w:val="left" w:pos="142"/>
          <w:tab w:val="left" w:pos="284"/>
          <w:tab w:val="left" w:pos="567"/>
        </w:tabs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3. Прием может осуществляться в администрации муниципального образования или по основному месту работы депутата.</w:t>
      </w:r>
    </w:p>
    <w:p w:rsidR="00D104FD" w:rsidRPr="00D104FD" w:rsidRDefault="00D104FD" w:rsidP="00D104FD">
      <w:pPr>
        <w:tabs>
          <w:tab w:val="left" w:pos="142"/>
          <w:tab w:val="left" w:pos="284"/>
          <w:tab w:val="left" w:pos="567"/>
        </w:tabs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3.1. Депутат пользуется правом на обеспечение соответствующих условий для осуществления приема. Для организации приема администрация муниципального образования выделяет депутату помещение с телефоном. 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3.2. Организационно-техническое обеспечение приема осуществляется администрацией муниципального образования. 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4. Депутат обязан вести прием регулярно не реже 1 раза в месяц,</w:t>
      </w:r>
      <w:r w:rsidRPr="00D1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перерывов в работе Совета.</w:t>
      </w:r>
      <w:r w:rsidRPr="00D104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104FD" w:rsidRPr="00D104FD" w:rsidRDefault="00D104FD" w:rsidP="00D104FD">
      <w:pPr>
        <w:tabs>
          <w:tab w:val="left" w:pos="142"/>
          <w:tab w:val="left" w:pos="284"/>
          <w:tab w:val="left" w:pos="567"/>
        </w:tabs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5. Депутат ведет прием лично. </w:t>
      </w:r>
    </w:p>
    <w:p w:rsidR="00D104FD" w:rsidRPr="00D104FD" w:rsidRDefault="00D104FD" w:rsidP="00D104FD">
      <w:pPr>
        <w:tabs>
          <w:tab w:val="left" w:pos="142"/>
          <w:tab w:val="left" w:pos="284"/>
          <w:tab w:val="left" w:pos="567"/>
        </w:tabs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04FD">
        <w:rPr>
          <w:rFonts w:ascii="Times New Roman" w:eastAsia="Times New Roman" w:hAnsi="Times New Roman" w:cs="Times New Roman"/>
          <w:sz w:val="28"/>
          <w:szCs w:val="28"/>
        </w:rPr>
        <w:t>Депутат ведет прием в соответствии с настоящим Порядком и Графиком приема депутатами Совета муниципального образования (далее – График приема).</w:t>
      </w:r>
    </w:p>
    <w:p w:rsidR="00D104FD" w:rsidRPr="00D104FD" w:rsidRDefault="00D104FD" w:rsidP="00D104FD">
      <w:pPr>
        <w:tabs>
          <w:tab w:val="left" w:pos="142"/>
          <w:tab w:val="left" w:pos="284"/>
          <w:tab w:val="left" w:pos="567"/>
        </w:tabs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6.1. График приема утверждается решением Совета муниципального образования </w:t>
      </w:r>
      <w:r w:rsidRPr="00D104FD">
        <w:rPr>
          <w:rFonts w:ascii="Times New Roman" w:eastAsia="Times New Roman" w:hAnsi="Times New Roman" w:cs="Times New Roman"/>
          <w:i/>
          <w:sz w:val="28"/>
          <w:szCs w:val="28"/>
        </w:rPr>
        <w:t>на квартал</w:t>
      </w:r>
      <w:r w:rsidRPr="00D104F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footnoteReference w:id="1"/>
      </w:r>
      <w:r w:rsidRPr="00D10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4FD" w:rsidRPr="00D104FD" w:rsidRDefault="00D104FD" w:rsidP="00D104FD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6.2. График приема содержит следующие сведения о каждом депутате:</w:t>
      </w:r>
    </w:p>
    <w:p w:rsidR="00D104FD" w:rsidRPr="00D104FD" w:rsidRDefault="00D104FD" w:rsidP="00D104FD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1) фамилию, имя, отчество депутата;</w:t>
      </w:r>
    </w:p>
    <w:p w:rsidR="00D104FD" w:rsidRPr="00D104FD" w:rsidRDefault="00D104FD" w:rsidP="00D104FD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2) номер избирательного округа, от которого избран депутат, с указанием адресов, входящих в избирательный округ либо сведения об избирательном объединении, политической партии, выдвинувшей список кандидатов;</w:t>
      </w:r>
    </w:p>
    <w:p w:rsidR="00D104FD" w:rsidRPr="00D104FD" w:rsidRDefault="00D104FD" w:rsidP="00D104FD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3) место и время проведения приема. </w:t>
      </w:r>
    </w:p>
    <w:p w:rsidR="00D104FD" w:rsidRPr="00D104FD" w:rsidRDefault="00D104FD" w:rsidP="00D104FD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6.3. Продолжительность времени приема, установленная Графиком приема, не может составлять менее </w:t>
      </w:r>
      <w:r w:rsidRPr="00D104FD">
        <w:rPr>
          <w:rFonts w:ascii="Times New Roman" w:eastAsia="Times New Roman" w:hAnsi="Times New Roman" w:cs="Times New Roman"/>
          <w:i/>
          <w:sz w:val="28"/>
          <w:szCs w:val="28"/>
        </w:rPr>
        <w:t>2 часов</w:t>
      </w:r>
      <w:r w:rsidRPr="00D104F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footnoteReference w:id="2"/>
      </w:r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04FD" w:rsidRPr="00D104FD" w:rsidRDefault="00D104FD" w:rsidP="00D104FD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6.4. График приема в течение 7 дней после дня его утверждения публикуется в официальном печатном средстве массовой информации, а также на сайте муниципального образования в сети «Интернет». В случае невозможности официального опубликования график приема подлежит официальному обнародованию в здании администрации в течение 7 дней после дня его утверждения.</w:t>
      </w:r>
    </w:p>
    <w:p w:rsidR="00D104FD" w:rsidRPr="00D104FD" w:rsidRDefault="00D104FD" w:rsidP="00D104FD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7. Прием участников и инвалидов Великой Отечественной войны и ветеранов труда проводится вне очереди. 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8. При личном приеме: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8.1. Гражданин предъявляет документ, удостоверяющий его личность.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8.2. Депутат заполняет карточку личного приема граждан (приложение к настоящему Порядку). 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9. В ходе приема гражданин вправе обратиться к депутату с устным или письменным обращением. 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9.1. В целях организации </w:t>
      </w:r>
      <w:proofErr w:type="gramStart"/>
      <w:r w:rsidRPr="00D104F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рассмотрением устных обращений граждан, краткое содержание устного обращения заносится депутатом в карточку личного приема граждан.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9.2. В случае</w:t>
      </w:r>
      <w:proofErr w:type="gramStart"/>
      <w:r w:rsidRPr="00D104F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9.3.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  <w:r w:rsidRPr="00D1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9.4.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10.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lastRenderedPageBreak/>
        <w:t>11.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12.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>13. Материалы приема хранятся в муниципальном образовании не менее 5 лет.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Calibri" w:eastAsia="Times New Roman" w:hAnsi="Calibri" w:cs="Times New Roman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14. Депутат ежегодно </w:t>
      </w:r>
      <w:r w:rsidRPr="00D104FD">
        <w:rPr>
          <w:rFonts w:ascii="Times New Roman" w:eastAsia="Times New Roman" w:hAnsi="Times New Roman" w:cs="Times New Roman"/>
          <w:i/>
          <w:sz w:val="28"/>
          <w:szCs w:val="28"/>
        </w:rPr>
        <w:t xml:space="preserve">не позднее первого квартала года, следующего </w:t>
      </w:r>
      <w:proofErr w:type="gramStart"/>
      <w:r w:rsidRPr="00D104FD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proofErr w:type="gramEnd"/>
      <w:r w:rsidRPr="00D104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104FD">
        <w:rPr>
          <w:rFonts w:ascii="Times New Roman" w:eastAsia="Times New Roman" w:hAnsi="Times New Roman" w:cs="Times New Roman"/>
          <w:i/>
          <w:sz w:val="28"/>
          <w:szCs w:val="28"/>
        </w:rPr>
        <w:t>отчетным</w:t>
      </w:r>
      <w:proofErr w:type="gramEnd"/>
      <w:r w:rsidRPr="00D104FD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представляет в Совет муниципального образования отчет о работе с населением. 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sz w:val="28"/>
          <w:szCs w:val="28"/>
        </w:rPr>
        <w:t xml:space="preserve">14.1.Отчет о работе с населением должен включать, в том числе, анализ поступивших обращений на личном приеме граждан и сведения о 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4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104FD" w:rsidRPr="00D104FD" w:rsidSect="00BB7C50">
          <w:pgSz w:w="11906" w:h="16838"/>
          <w:pgMar w:top="1276" w:right="851" w:bottom="1134" w:left="1418" w:header="709" w:footer="709" w:gutter="0"/>
          <w:cols w:space="720"/>
          <w:titlePg/>
          <w:docGrid w:linePitch="381"/>
        </w:sectPr>
      </w:pP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4F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к Порядку организации и                         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4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осуществления приема граждан депутатами 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4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сельского поселения </w:t>
      </w:r>
      <w:proofErr w:type="spellStart"/>
      <w:r w:rsidRPr="00D104FD">
        <w:rPr>
          <w:rFonts w:ascii="Times New Roman" w:eastAsia="Times New Roman" w:hAnsi="Times New Roman" w:cs="Times New Roman"/>
          <w:sz w:val="20"/>
          <w:szCs w:val="20"/>
        </w:rPr>
        <w:t>Тряпинский</w:t>
      </w:r>
      <w:proofErr w:type="spellEnd"/>
      <w:r w:rsidRPr="00D104FD"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4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муниципального района </w:t>
      </w:r>
      <w:proofErr w:type="spellStart"/>
      <w:r w:rsidRPr="00D104FD">
        <w:rPr>
          <w:rFonts w:ascii="Times New Roman" w:eastAsia="Times New Roman" w:hAnsi="Times New Roman" w:cs="Times New Roman"/>
          <w:sz w:val="20"/>
          <w:szCs w:val="20"/>
        </w:rPr>
        <w:t>Аургазинский</w:t>
      </w:r>
      <w:proofErr w:type="spellEnd"/>
      <w:r w:rsidRPr="00D104FD">
        <w:rPr>
          <w:rFonts w:ascii="Times New Roman" w:eastAsia="Times New Roman" w:hAnsi="Times New Roman" w:cs="Times New Roman"/>
          <w:sz w:val="20"/>
          <w:szCs w:val="20"/>
        </w:rPr>
        <w:t xml:space="preserve"> район 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4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Республики Башкортостан, </w:t>
      </w:r>
      <w:proofErr w:type="gramStart"/>
      <w:r w:rsidRPr="00D104FD">
        <w:rPr>
          <w:rFonts w:ascii="Times New Roman" w:eastAsia="Times New Roman" w:hAnsi="Times New Roman" w:cs="Times New Roman"/>
          <w:sz w:val="20"/>
          <w:szCs w:val="20"/>
        </w:rPr>
        <w:t>утвержденному</w:t>
      </w:r>
      <w:proofErr w:type="gramEnd"/>
      <w:r w:rsidRPr="00D104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4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решением Совета сельского поселения 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4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104FD">
        <w:rPr>
          <w:rFonts w:ascii="Times New Roman" w:eastAsia="Times New Roman" w:hAnsi="Times New Roman" w:cs="Times New Roman"/>
          <w:sz w:val="20"/>
          <w:szCs w:val="20"/>
        </w:rPr>
        <w:t>Тряпинский</w:t>
      </w:r>
      <w:proofErr w:type="spellEnd"/>
      <w:r w:rsidRPr="00D104FD">
        <w:rPr>
          <w:rFonts w:ascii="Times New Roman" w:eastAsia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4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104FD">
        <w:rPr>
          <w:rFonts w:ascii="Times New Roman" w:eastAsia="Times New Roman" w:hAnsi="Times New Roman" w:cs="Times New Roman"/>
          <w:sz w:val="20"/>
          <w:szCs w:val="20"/>
        </w:rPr>
        <w:t>Аургазинский</w:t>
      </w:r>
      <w:proofErr w:type="spellEnd"/>
      <w:r w:rsidRPr="00D104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04FD">
        <w:rPr>
          <w:rFonts w:ascii="Times New Roman" w:eastAsia="Times New Roman" w:hAnsi="Times New Roman" w:cs="Times New Roman"/>
          <w:sz w:val="20"/>
          <w:szCs w:val="20"/>
        </w:rPr>
        <w:t>районРеспублики</w:t>
      </w:r>
      <w:proofErr w:type="spellEnd"/>
      <w:r w:rsidRPr="00D104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104FD" w:rsidRPr="00D104FD" w:rsidRDefault="00D104FD" w:rsidP="00D104F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04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104FD">
        <w:rPr>
          <w:rFonts w:ascii="Times New Roman" w:eastAsia="Times New Roman" w:hAnsi="Times New Roman" w:cs="Times New Roman"/>
          <w:sz w:val="20"/>
          <w:szCs w:val="20"/>
        </w:rPr>
        <w:t>Башкортостанот</w:t>
      </w:r>
      <w:proofErr w:type="spellEnd"/>
      <w:r w:rsidRPr="00D104FD">
        <w:rPr>
          <w:rFonts w:ascii="Times New Roman" w:eastAsia="Times New Roman" w:hAnsi="Times New Roman" w:cs="Times New Roman"/>
          <w:sz w:val="20"/>
          <w:szCs w:val="20"/>
        </w:rPr>
        <w:t xml:space="preserve"> «___» __________ 2013 г. № ___</w:t>
      </w:r>
    </w:p>
    <w:p w:rsidR="00D104FD" w:rsidRPr="00D104FD" w:rsidRDefault="00D104FD" w:rsidP="00D104FD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4FD" w:rsidRPr="00D104FD" w:rsidRDefault="00D104FD" w:rsidP="00D104FD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D104FD" w:rsidRPr="00D104FD" w:rsidRDefault="00D104FD" w:rsidP="00D104FD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>Тряпинский</w:t>
      </w:r>
      <w:proofErr w:type="spellEnd"/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D104FD" w:rsidRPr="00D104FD" w:rsidRDefault="00D104FD" w:rsidP="00D104FD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D104FD" w:rsidRPr="00D104FD" w:rsidRDefault="00D104FD" w:rsidP="00D104FD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4FD" w:rsidRPr="00D104FD" w:rsidRDefault="00D104FD" w:rsidP="00D104FD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>Карточка личного приема гражданина депутатом Совета</w:t>
      </w:r>
    </w:p>
    <w:p w:rsidR="00D104FD" w:rsidRPr="00D104FD" w:rsidRDefault="00D104FD" w:rsidP="00D104FD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>Тряпинский</w:t>
      </w:r>
      <w:proofErr w:type="spellEnd"/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D104FD" w:rsidRPr="00D104FD" w:rsidRDefault="00D104FD" w:rsidP="00D104FD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D104FD" w:rsidRPr="00D104FD" w:rsidRDefault="00D104FD" w:rsidP="00D104FD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4FD" w:rsidRPr="00D104FD" w:rsidRDefault="00D104FD" w:rsidP="00D104FD">
      <w:pPr>
        <w:tabs>
          <w:tab w:val="left" w:pos="142"/>
        </w:tabs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4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41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418"/>
        <w:gridCol w:w="1560"/>
        <w:gridCol w:w="1559"/>
        <w:gridCol w:w="1984"/>
        <w:gridCol w:w="1843"/>
        <w:gridCol w:w="2693"/>
        <w:gridCol w:w="2268"/>
        <w:gridCol w:w="1701"/>
      </w:tblGrid>
      <w:tr w:rsidR="00D104FD" w:rsidRPr="00D104FD" w:rsidTr="00BE4BA5">
        <w:tc>
          <w:tcPr>
            <w:tcW w:w="391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4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4F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560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4F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гражданина,</w:t>
            </w:r>
          </w:p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4F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559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4F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984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депутата </w:t>
            </w:r>
          </w:p>
        </w:tc>
        <w:tc>
          <w:tcPr>
            <w:tcW w:w="1843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4F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рассмотрения обращения</w:t>
            </w:r>
          </w:p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4F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ответа на обращение;</w:t>
            </w:r>
          </w:p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4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ответа на обращение (устная/письменная)</w:t>
            </w:r>
          </w:p>
        </w:tc>
        <w:tc>
          <w:tcPr>
            <w:tcW w:w="2268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депутата </w:t>
            </w:r>
          </w:p>
        </w:tc>
        <w:tc>
          <w:tcPr>
            <w:tcW w:w="1701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4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гражданина</w:t>
            </w:r>
          </w:p>
        </w:tc>
      </w:tr>
      <w:tr w:rsidR="00D104FD" w:rsidRPr="00D104FD" w:rsidTr="00BE4BA5">
        <w:tc>
          <w:tcPr>
            <w:tcW w:w="391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04FD" w:rsidRPr="00D104FD" w:rsidRDefault="00D104FD" w:rsidP="00D104FD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04FD" w:rsidRPr="00D104FD" w:rsidRDefault="00D104FD" w:rsidP="00D104FD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</w:rPr>
        <w:sectPr w:rsidR="00D104FD" w:rsidRPr="00D104FD" w:rsidSect="00371950">
          <w:pgSz w:w="16838" w:h="11906" w:orient="landscape"/>
          <w:pgMar w:top="851" w:right="1134" w:bottom="1418" w:left="1440" w:header="709" w:footer="709" w:gutter="0"/>
          <w:cols w:space="720"/>
          <w:titlePg/>
          <w:docGrid w:linePitch="381"/>
        </w:sectPr>
      </w:pPr>
    </w:p>
    <w:p w:rsidR="00277EEF" w:rsidRDefault="00277EEF">
      <w:bookmarkStart w:id="0" w:name="_GoBack"/>
      <w:bookmarkEnd w:id="0"/>
    </w:p>
    <w:sectPr w:rsidR="0027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51" w:rsidRDefault="00AB3F51" w:rsidP="00D104FD">
      <w:pPr>
        <w:spacing w:after="0" w:line="240" w:lineRule="auto"/>
      </w:pPr>
      <w:r>
        <w:separator/>
      </w:r>
    </w:p>
  </w:endnote>
  <w:endnote w:type="continuationSeparator" w:id="0">
    <w:p w:rsidR="00AB3F51" w:rsidRDefault="00AB3F51" w:rsidP="00D1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51" w:rsidRDefault="00AB3F51" w:rsidP="00D104FD">
      <w:pPr>
        <w:spacing w:after="0" w:line="240" w:lineRule="auto"/>
      </w:pPr>
      <w:r>
        <w:separator/>
      </w:r>
    </w:p>
  </w:footnote>
  <w:footnote w:type="continuationSeparator" w:id="0">
    <w:p w:rsidR="00AB3F51" w:rsidRDefault="00AB3F51" w:rsidP="00D104FD">
      <w:pPr>
        <w:spacing w:after="0" w:line="240" w:lineRule="auto"/>
      </w:pPr>
      <w:r>
        <w:continuationSeparator/>
      </w:r>
    </w:p>
  </w:footnote>
  <w:footnote w:id="1">
    <w:p w:rsidR="00D104FD" w:rsidRDefault="00D104FD" w:rsidP="00D104FD">
      <w:pPr>
        <w:pStyle w:val="a3"/>
      </w:pPr>
      <w:r w:rsidRPr="00493B9B">
        <w:rPr>
          <w:rStyle w:val="a5"/>
        </w:rPr>
        <w:footnoteRef/>
      </w:r>
      <w:r w:rsidRPr="00493B9B">
        <w:t xml:space="preserve"> Очередной период устанавливается самостоятельно.</w:t>
      </w:r>
    </w:p>
  </w:footnote>
  <w:footnote w:id="2">
    <w:p w:rsidR="00D104FD" w:rsidRDefault="00D104FD" w:rsidP="00D104FD">
      <w:pPr>
        <w:pStyle w:val="a3"/>
      </w:pPr>
      <w:r w:rsidRPr="00493B9B">
        <w:rPr>
          <w:rStyle w:val="a5"/>
        </w:rPr>
        <w:footnoteRef/>
      </w:r>
      <w:r w:rsidRPr="00493B9B">
        <w:t xml:space="preserve"> Продолжительность приема устанавливается </w:t>
      </w:r>
      <w:r w:rsidRPr="009C057E">
        <w:t>самостоятельно.</w:t>
      </w:r>
    </w:p>
  </w:footnote>
  <w:footnote w:id="3">
    <w:p w:rsidR="00D104FD" w:rsidRDefault="00D104FD" w:rsidP="00D104FD">
      <w:pPr>
        <w:pStyle w:val="a3"/>
      </w:pPr>
      <w:r w:rsidRPr="00493B9B">
        <w:rPr>
          <w:rStyle w:val="a5"/>
        </w:rPr>
        <w:footnoteRef/>
      </w:r>
      <w:r w:rsidRPr="00493B9B">
        <w:t xml:space="preserve"> Время представления депутатом отчета о работе с населением  устанавливается самостоятельно.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2A"/>
    <w:rsid w:val="00277EEF"/>
    <w:rsid w:val="007E0D2A"/>
    <w:rsid w:val="00AB3F51"/>
    <w:rsid w:val="00D1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04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04FD"/>
    <w:rPr>
      <w:sz w:val="20"/>
      <w:szCs w:val="20"/>
    </w:rPr>
  </w:style>
  <w:style w:type="character" w:styleId="a5">
    <w:name w:val="footnote reference"/>
    <w:semiHidden/>
    <w:rsid w:val="00D104F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04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04FD"/>
    <w:rPr>
      <w:sz w:val="20"/>
      <w:szCs w:val="20"/>
    </w:rPr>
  </w:style>
  <w:style w:type="character" w:styleId="a5">
    <w:name w:val="footnote reference"/>
    <w:semiHidden/>
    <w:rsid w:val="00D104F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-traypi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_____________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1619</Words>
  <Characters>9233</Characters>
  <Application>Microsoft Office Word</Application>
  <DocSecurity>0</DocSecurity>
  <Lines>76</Lines>
  <Paragraphs>21</Paragraphs>
  <ScaleCrop>false</ScaleCrop>
  <Company>Тряпинский СП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2013-03-01T06:43:00Z</dcterms:created>
  <dcterms:modified xsi:type="dcterms:W3CDTF">2013-03-01T06:46:00Z</dcterms:modified>
</cp:coreProperties>
</file>